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EDE" w:rsidRDefault="00487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leftMargin">
                  <wp:posOffset>167640</wp:posOffset>
                </wp:positionH>
                <wp:positionV relativeFrom="page">
                  <wp:posOffset>-269874</wp:posOffset>
                </wp:positionV>
                <wp:extent cx="128905" cy="1119759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0598" y="0"/>
                          <a:ext cx="90805" cy="7560000"/>
                        </a:xfrm>
                        <a:prstGeom prst="rect">
                          <a:avLst/>
                        </a:prstGeom>
                        <a:solidFill>
                          <a:srgbClr val="A61212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A6EDE" w:rsidRDefault="00BA6E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3.2pt;margin-top:-21.25pt;width:10.15pt;height:881.7pt;z-index:25165824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" fillcolor="#a61212" strokecolor="#f2f2f2" strokeweight="3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A6EDE" w:rsidRDefault="00BA6ED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  <w:sz w:val="72"/>
          <w:szCs w:val="72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</w:p>
    <w:p w:rsidR="00BA6EDE" w:rsidRDefault="00487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8199119" cy="855980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5491" y="3371060"/>
                          <a:ext cx="8161019" cy="817880"/>
                        </a:xfrm>
                        <a:prstGeom prst="rect">
                          <a:avLst/>
                        </a:prstGeom>
                        <a:solidFill>
                          <a:srgbClr val="A61212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A6EDE" w:rsidRDefault="00BA6E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7" style="position:absolute;margin-left:0;margin-top:0;width:645.6pt;height:67.4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" fillcolor="#a61212" strokecolor="#f2f2f2" strokeweight="3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A6EDE" w:rsidRDefault="00BA6ED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28905" cy="1059434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0598" y="0"/>
                          <a:ext cx="90805" cy="7560000"/>
                        </a:xfrm>
                        <a:prstGeom prst="rect">
                          <a:avLst/>
                        </a:prstGeom>
                        <a:solidFill>
                          <a:srgbClr val="A61212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A6EDE" w:rsidRDefault="00BA6E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8" style="position:absolute;margin-left:0;margin-top:0;width:10.15pt;height:834.2pt;z-index:251660288;visibility:visible;mso-wrap-style:square;mso-wrap-distance-left:9pt;mso-wrap-distance-top:0;mso-wrap-distance-right:9pt;mso-wrap-distance-bottom:0;mso-position-horizontal:center;mso-position-horizontal-relative:right-margin-area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" fillcolor="#a61212" strokecolor="#f2f2f2" strokeweight="3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A6EDE" w:rsidRDefault="00BA6ED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align>center</wp:align>
                </wp:positionH>
                <wp:positionV relativeFrom="topMargin">
                  <wp:align>top</wp:align>
                </wp:positionV>
                <wp:extent cx="8199119" cy="861060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5491" y="3368520"/>
                          <a:ext cx="8161019" cy="822960"/>
                        </a:xfrm>
                        <a:prstGeom prst="rect">
                          <a:avLst/>
                        </a:prstGeom>
                        <a:solidFill>
                          <a:srgbClr val="A61212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A6EDE" w:rsidRDefault="00BA6E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9" style="position:absolute;margin-left:0;margin-top:0;width:645.6pt;height:67.8pt;z-index:251661312;visibility:visible;mso-wrap-style:square;mso-wrap-distance-left:9pt;mso-wrap-distance-top:0;mso-wrap-distance-right:9pt;mso-wrap-distance-bottom:0;mso-position-horizontal:center;mso-position-horizontal-relative:page;mso-position-vertical:top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" fillcolor="#a61212" strokecolor="#f2f2f2" strokeweight="3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A6EDE" w:rsidRDefault="00BA6ED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:rsidR="00BA6EDE" w:rsidRDefault="00487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rFonts w:ascii="Cambria" w:eastAsia="Cambria" w:hAnsi="Cambria" w:cs="Cambria"/>
          <w:color w:val="000000"/>
          <w:sz w:val="72"/>
          <w:szCs w:val="72"/>
        </w:rPr>
        <w:t>Памятка донора</w:t>
      </w:r>
    </w:p>
    <w:p w:rsidR="00BA6EDE" w:rsidRDefault="00487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Основные положения</w:t>
      </w:r>
      <w:r>
        <w:rPr>
          <w:rFonts w:ascii="Cambria" w:eastAsia="Cambria" w:hAnsi="Cambria" w:cs="Cambria"/>
          <w:color w:val="000000"/>
          <w:sz w:val="36"/>
          <w:szCs w:val="36"/>
        </w:rPr>
        <w:t>, противопоказания, рекомендации</w:t>
      </w: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</w:p>
    <w:p w:rsidR="00BA6EDE" w:rsidRDefault="004875AC">
      <w:pPr>
        <w:jc w:val="center"/>
        <w:rPr>
          <w:rFonts w:ascii="Arial" w:eastAsia="Arial" w:hAnsi="Arial" w:cs="Arial"/>
          <w:b/>
          <w:color w:val="000000"/>
          <w:sz w:val="52"/>
          <w:szCs w:val="52"/>
          <w:u w:val="single"/>
        </w:rPr>
      </w:pPr>
      <w:r>
        <w:br w:type="page"/>
      </w:r>
    </w:p>
    <w:p w:rsidR="00BA6EDE" w:rsidRDefault="00BA6EDE">
      <w:pPr>
        <w:shd w:val="clear" w:color="auto" w:fill="FFFFFF"/>
        <w:spacing w:after="336" w:line="240" w:lineRule="auto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</w:p>
    <w:p w:rsidR="00BA6EDE" w:rsidRDefault="004875A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Содержание</w:t>
      </w:r>
    </w:p>
    <w:sdt>
      <w:sdtPr>
        <w:id w:val="-501127758"/>
        <w:docPartObj>
          <w:docPartGallery w:val="Table of Contents"/>
          <w:docPartUnique/>
        </w:docPartObj>
      </w:sdtPr>
      <w:sdtEndPr/>
      <w:sdtContent>
        <w:p w:rsidR="00BA6EDE" w:rsidRDefault="004875AC">
          <w:pPr>
            <w:tabs>
              <w:tab w:val="right" w:pos="9354"/>
            </w:tabs>
            <w:spacing w:before="8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gjdgxs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Основные положения</w:t>
            </w:r>
          </w:hyperlink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_heading=h.gjdgxs \h </w:instrText>
          </w:r>
          <w:r>
            <w:fldChar w:fldCharType="separate"/>
          </w: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2</w:t>
          </w:r>
          <w:r>
            <w:fldChar w:fldCharType="end"/>
          </w:r>
        </w:p>
        <w:p w:rsidR="00BA6EDE" w:rsidRDefault="005C7304">
          <w:pPr>
            <w:tabs>
              <w:tab w:val="right" w:pos="9354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30j0zll">
            <w:r w:rsidR="004875A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Противопоказания к донорству</w:t>
            </w:r>
          </w:hyperlink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ab/>
          </w:r>
          <w:r w:rsidR="004875AC">
            <w:fldChar w:fldCharType="begin"/>
          </w:r>
          <w:r w:rsidR="004875AC">
            <w:instrText xml:space="preserve"> PAGEREF _heading=h.30j0zll \h </w:instrText>
          </w:r>
          <w:r w:rsidR="004875AC">
            <w:fldChar w:fldCharType="separate"/>
          </w:r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>2</w:t>
          </w:r>
          <w:r w:rsidR="004875AC">
            <w:fldChar w:fldCharType="end"/>
          </w:r>
        </w:p>
        <w:p w:rsidR="00BA6EDE" w:rsidRDefault="005C7304">
          <w:pPr>
            <w:tabs>
              <w:tab w:val="right" w:pos="9354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1fob9te">
            <w:r w:rsidR="004875A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Как подготовиться к сдаче крови?</w:t>
            </w:r>
          </w:hyperlink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ab/>
          </w:r>
          <w:r w:rsidR="004875AC">
            <w:fldChar w:fldCharType="begin"/>
          </w:r>
          <w:r w:rsidR="004875AC">
            <w:instrText xml:space="preserve"> PAGEREF _heading=h.1fob9te \h </w:instrText>
          </w:r>
          <w:r w:rsidR="004875AC">
            <w:fldChar w:fldCharType="separate"/>
          </w:r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>8</w:t>
          </w:r>
          <w:r w:rsidR="004875AC">
            <w:fldChar w:fldCharType="end"/>
          </w:r>
        </w:p>
        <w:p w:rsidR="00BA6EDE" w:rsidRDefault="005C7304">
          <w:pPr>
            <w:tabs>
              <w:tab w:val="right" w:pos="9354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3znysh7">
            <w:r w:rsidR="004875A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Диета донора</w:t>
            </w:r>
          </w:hyperlink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ab/>
          </w:r>
          <w:r w:rsidR="004875AC">
            <w:fldChar w:fldCharType="begin"/>
          </w:r>
          <w:r w:rsidR="004875AC">
            <w:instrText xml:space="preserve"> PAGEREF _heading=h.3znysh7 \h </w:instrText>
          </w:r>
          <w:r w:rsidR="004875AC">
            <w:fldChar w:fldCharType="separate"/>
          </w:r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>10</w:t>
          </w:r>
          <w:r w:rsidR="004875AC">
            <w:fldChar w:fldCharType="end"/>
          </w:r>
        </w:p>
        <w:p w:rsidR="00BA6EDE" w:rsidRDefault="005C7304">
          <w:pPr>
            <w:tabs>
              <w:tab w:val="right" w:pos="9354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2et92p0">
            <w:r w:rsidR="004875A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Частота донаций крови (компонентов)</w:t>
            </w:r>
          </w:hyperlink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ab/>
          </w:r>
          <w:r w:rsidR="004875AC">
            <w:fldChar w:fldCharType="begin"/>
          </w:r>
          <w:r w:rsidR="004875AC">
            <w:instrText xml:space="preserve"> PAGEREF _heading=h.2et92p0 \h </w:instrText>
          </w:r>
          <w:r w:rsidR="004875AC">
            <w:fldChar w:fldCharType="separate"/>
          </w:r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>11</w:t>
          </w:r>
          <w:r w:rsidR="004875AC">
            <w:fldChar w:fldCharType="end"/>
          </w:r>
        </w:p>
        <w:p w:rsidR="00BA6EDE" w:rsidRDefault="005C7304">
          <w:pPr>
            <w:tabs>
              <w:tab w:val="right" w:pos="9354"/>
            </w:tabs>
            <w:spacing w:before="200" w:line="240" w:lineRule="auto"/>
            <w:rPr>
              <w:b/>
              <w:color w:val="000000"/>
              <w:sz w:val="24"/>
              <w:szCs w:val="24"/>
            </w:rPr>
          </w:pPr>
          <w:hyperlink w:anchor="_heading=h.thlj8nxx24a7">
            <w:r w:rsidR="004875A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Важность повторной донации</w:t>
            </w:r>
          </w:hyperlink>
          <w:r w:rsidR="004875AC">
            <w:rPr>
              <w:b/>
              <w:color w:val="000000"/>
              <w:sz w:val="24"/>
              <w:szCs w:val="24"/>
            </w:rPr>
            <w:tab/>
          </w:r>
          <w:r w:rsidR="004875AC">
            <w:fldChar w:fldCharType="begin"/>
          </w:r>
          <w:r w:rsidR="004875AC">
            <w:instrText xml:space="preserve"> PAGEREF _heading=h.thlj8nxx24a7 \h </w:instrText>
          </w:r>
          <w:r w:rsidR="004875AC">
            <w:fldChar w:fldCharType="separate"/>
          </w:r>
          <w:r w:rsidR="004875AC">
            <w:rPr>
              <w:b/>
              <w:color w:val="000000"/>
              <w:sz w:val="24"/>
              <w:szCs w:val="24"/>
            </w:rPr>
            <w:t>12</w:t>
          </w:r>
          <w:r w:rsidR="004875AC">
            <w:fldChar w:fldCharType="end"/>
          </w:r>
        </w:p>
        <w:p w:rsidR="00BA6EDE" w:rsidRDefault="005C7304">
          <w:pPr>
            <w:tabs>
              <w:tab w:val="right" w:pos="9354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1t3h5sf">
            <w:r w:rsidR="004875A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Привилегии доноров</w:t>
            </w:r>
          </w:hyperlink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ab/>
          </w:r>
          <w:r w:rsidR="004875AC">
            <w:fldChar w:fldCharType="begin"/>
          </w:r>
          <w:r w:rsidR="004875AC">
            <w:instrText xml:space="preserve"> PAGEREF _heading=h.1t3h5sf \h </w:instrText>
          </w:r>
          <w:r w:rsidR="004875AC">
            <w:fldChar w:fldCharType="separate"/>
          </w:r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>13</w:t>
          </w:r>
          <w:r w:rsidR="004875AC">
            <w:fldChar w:fldCharType="end"/>
          </w:r>
        </w:p>
        <w:p w:rsidR="00BA6EDE" w:rsidRDefault="005C7304">
          <w:pPr>
            <w:tabs>
              <w:tab w:val="right" w:pos="9354"/>
            </w:tabs>
            <w:spacing w:before="200" w:after="8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2s8eyo1">
            <w:r w:rsidR="004875A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Меры социальной поддержки лиц, награжденных нагрудным знаком «Почетный донор России»</w:t>
            </w:r>
          </w:hyperlink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ab/>
          </w:r>
          <w:r w:rsidR="004875AC">
            <w:fldChar w:fldCharType="begin"/>
          </w:r>
          <w:r w:rsidR="004875AC">
            <w:instrText xml:space="preserve"> PAGEREF _heading=h.2s8eyo1 \h </w:instrText>
          </w:r>
          <w:r w:rsidR="004875AC">
            <w:fldChar w:fldCharType="separate"/>
          </w:r>
          <w:r w:rsidR="004875AC">
            <w:rPr>
              <w:rFonts w:ascii="Arial" w:eastAsia="Arial" w:hAnsi="Arial" w:cs="Arial"/>
              <w:b/>
              <w:color w:val="000000"/>
              <w:sz w:val="24"/>
              <w:szCs w:val="24"/>
            </w:rPr>
            <w:t>1</w:t>
          </w:r>
          <w:r w:rsidR="00D543C7">
            <w:rPr>
              <w:rFonts w:ascii="Arial" w:eastAsia="Arial" w:hAnsi="Arial" w:cs="Arial"/>
              <w:b/>
              <w:color w:val="000000"/>
              <w:sz w:val="24"/>
              <w:szCs w:val="24"/>
            </w:rPr>
            <w:t>4</w:t>
          </w:r>
          <w:r w:rsidR="004875AC">
            <w:fldChar w:fldCharType="end"/>
          </w:r>
          <w:r w:rsidR="004875AC">
            <w:fldChar w:fldCharType="end"/>
          </w:r>
        </w:p>
      </w:sdtContent>
    </w:sdt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BA6EDE">
      <w:pPr>
        <w:shd w:val="clear" w:color="auto" w:fill="FFFFFF"/>
        <w:spacing w:after="336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:rsidR="00BA6EDE" w:rsidRDefault="004875AC">
      <w:pPr>
        <w:pStyle w:val="1"/>
        <w:jc w:val="center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lastRenderedPageBreak/>
        <w:t>Основные положения</w:t>
      </w:r>
    </w:p>
    <w:p w:rsidR="00BA6EDE" w:rsidRDefault="00BA6EDE"/>
    <w:p w:rsidR="00BA6EDE" w:rsidRDefault="004875AC">
      <w:pPr>
        <w:numPr>
          <w:ilvl w:val="0"/>
          <w:numId w:val="8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Стать донором может практически любой здоровый, дееспособный совершеннолетний гражданин России или иностранный гражданин, проживающий (имеющий </w:t>
      </w:r>
      <w:r>
        <w:rPr>
          <w:rFonts w:ascii="Arial" w:eastAsia="Arial" w:hAnsi="Arial" w:cs="Arial"/>
          <w:b/>
          <w:color w:val="000000"/>
          <w:sz w:val="24"/>
          <w:szCs w:val="24"/>
        </w:rPr>
        <w:t>разрешение на временное проживание</w:t>
      </w:r>
      <w:r>
        <w:rPr>
          <w:rFonts w:ascii="Arial" w:eastAsia="Arial" w:hAnsi="Arial" w:cs="Arial"/>
          <w:color w:val="000000"/>
          <w:sz w:val="24"/>
          <w:szCs w:val="24"/>
        </w:rPr>
        <w:t> или имеющий </w:t>
      </w:r>
      <w:r>
        <w:rPr>
          <w:rFonts w:ascii="Arial" w:eastAsia="Arial" w:hAnsi="Arial" w:cs="Arial"/>
          <w:b/>
          <w:color w:val="000000"/>
          <w:sz w:val="24"/>
          <w:szCs w:val="24"/>
        </w:rPr>
        <w:t>вид на жительство</w:t>
      </w:r>
      <w:r>
        <w:rPr>
          <w:rFonts w:ascii="Arial" w:eastAsia="Arial" w:hAnsi="Arial" w:cs="Arial"/>
          <w:color w:val="000000"/>
          <w:sz w:val="24"/>
          <w:szCs w:val="24"/>
        </w:rPr>
        <w:t>) на территории РФ более 1 года, если он старше 18 лет и весом более 50кг. Однако существуют определенные медицинские противопоказания к донорству крови и ее компонентов.</w:t>
      </w:r>
    </w:p>
    <w:p w:rsidR="00BA6EDE" w:rsidRDefault="004875AC">
      <w:pPr>
        <w:numPr>
          <w:ilvl w:val="0"/>
          <w:numId w:val="8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Если у вас есть заболевания, не вошедшие в перечень противопоказаний, или вы принимаете какие-то лекарства, вопрос о допуске к донорству крови или ее компонентов решается врачом -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трансфузиологом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– специалистом Центра крови или отделения переливания крови.</w:t>
      </w:r>
    </w:p>
    <w:p w:rsidR="00BA6EDE" w:rsidRDefault="004875AC">
      <w:pPr>
        <w:numPr>
          <w:ilvl w:val="0"/>
          <w:numId w:val="8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На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донацию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крови или ее компонентов при себе нужно </w:t>
      </w:r>
      <w:r>
        <w:rPr>
          <w:rFonts w:ascii="Arial" w:eastAsia="Arial" w:hAnsi="Arial" w:cs="Arial"/>
          <w:b/>
          <w:color w:val="000000"/>
          <w:sz w:val="24"/>
          <w:szCs w:val="24"/>
        </w:rPr>
        <w:t>всегда</w:t>
      </w:r>
      <w:r>
        <w:rPr>
          <w:rFonts w:ascii="Arial" w:eastAsia="Arial" w:hAnsi="Arial" w:cs="Arial"/>
          <w:color w:val="000000"/>
          <w:sz w:val="24"/>
          <w:szCs w:val="24"/>
        </w:rPr>
        <w:t> иметь паспорт гражданина РФ (иностранным гражданам, проживающим на территории РФ более 1 года, паспорт и дополнительно, </w:t>
      </w:r>
      <w:r>
        <w:rPr>
          <w:rFonts w:ascii="Arial" w:eastAsia="Arial" w:hAnsi="Arial" w:cs="Arial"/>
          <w:b/>
          <w:color w:val="000000"/>
          <w:sz w:val="24"/>
          <w:szCs w:val="24"/>
        </w:rPr>
        <w:t>разрешение на временное проживание</w:t>
      </w:r>
      <w:r>
        <w:rPr>
          <w:rFonts w:ascii="Arial" w:eastAsia="Arial" w:hAnsi="Arial" w:cs="Arial"/>
          <w:color w:val="000000"/>
          <w:sz w:val="24"/>
          <w:szCs w:val="24"/>
        </w:rPr>
        <w:t> или </w:t>
      </w:r>
      <w:r>
        <w:rPr>
          <w:rFonts w:ascii="Arial" w:eastAsia="Arial" w:hAnsi="Arial" w:cs="Arial"/>
          <w:b/>
          <w:color w:val="000000"/>
          <w:sz w:val="24"/>
          <w:szCs w:val="24"/>
        </w:rPr>
        <w:t>вид на жительство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</w:p>
    <w:p w:rsidR="00BA6EDE" w:rsidRDefault="004875AC">
      <w:pPr>
        <w:numPr>
          <w:ilvl w:val="0"/>
          <w:numId w:val="8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Прием доноров в стационарных подразделениях Центра крови осуществляется по предварительной записи.</w:t>
      </w:r>
    </w:p>
    <w:p w:rsidR="00BA6EDE" w:rsidRDefault="004875AC">
      <w:pPr>
        <w:numPr>
          <w:ilvl w:val="0"/>
          <w:numId w:val="8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Доноры-родственники, а также доноры, впервые обратившиеся в Центр крови и предварительно не записавшиеся на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донацию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проходят регистрацию и осмотр в порядке общей очереди. Допуск доноров до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донации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осуществляется в соответствии с потребностями Медицинских организаций государственной системы здравоохранения города Москвы.</w:t>
      </w:r>
    </w:p>
    <w:p w:rsidR="00BA6EDE" w:rsidRDefault="004875AC">
      <w:pPr>
        <w:pStyle w:val="1"/>
        <w:jc w:val="center"/>
        <w:rPr>
          <w:color w:val="000000"/>
        </w:rPr>
      </w:pPr>
      <w:bookmarkStart w:id="1" w:name="_heading=h.30j0zll" w:colFirst="0" w:colLast="0"/>
      <w:bookmarkEnd w:id="1"/>
      <w:r>
        <w:rPr>
          <w:color w:val="000000"/>
        </w:rPr>
        <w:t>Противопоказания к донорству</w:t>
      </w:r>
    </w:p>
    <w:p w:rsidR="00BA6EDE" w:rsidRDefault="004875AC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Противопоказаниями для сдачи крови и </w:t>
      </w:r>
      <w:r>
        <w:rPr>
          <w:rFonts w:ascii="Arial" w:eastAsia="Arial" w:hAnsi="Arial" w:cs="Arial"/>
          <w:sz w:val="24"/>
          <w:szCs w:val="24"/>
        </w:rPr>
        <w:t>ее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компонентов являются заболевания и (или) состояния, которые могут негативно повлиять на состояние здоровья донора или реципиента.</w:t>
      </w:r>
    </w:p>
    <w:p w:rsidR="00BA6EDE" w:rsidRDefault="004875A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Существует 2 вида противопоказаний:</w:t>
      </w:r>
    </w:p>
    <w:p w:rsidR="00BA6EDE" w:rsidRDefault="004875AC">
      <w:pPr>
        <w:numPr>
          <w:ilvl w:val="0"/>
          <w:numId w:val="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>Постоянные “Абсолютные”</w:t>
      </w:r>
      <w:r>
        <w:rPr>
          <w:rFonts w:ascii="Arial" w:eastAsia="Arial" w:hAnsi="Arial" w:cs="Arial"/>
          <w:sz w:val="24"/>
          <w:szCs w:val="24"/>
        </w:rPr>
        <w:t xml:space="preserve"> (заболевания и состояния, при которых сдача крови невозможна)</w:t>
      </w:r>
    </w:p>
    <w:p w:rsidR="00BA6EDE" w:rsidRDefault="004875AC">
      <w:pPr>
        <w:numPr>
          <w:ilvl w:val="0"/>
          <w:numId w:val="6"/>
        </w:numPr>
        <w:spacing w:after="2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>Временные</w:t>
      </w:r>
      <w:r>
        <w:rPr>
          <w:rFonts w:ascii="Arial" w:eastAsia="Arial" w:hAnsi="Arial" w:cs="Arial"/>
          <w:sz w:val="24"/>
          <w:szCs w:val="24"/>
        </w:rPr>
        <w:t xml:space="preserve"> (противопоказания связанные с состоянием здоровья человека в настоящее момент и которые, могут измениться с течением времени)</w:t>
      </w:r>
    </w:p>
    <w:p w:rsidR="00BA6EDE" w:rsidRDefault="004875AC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Перечень медицинских противопоказаний для сдачи крови и ее компонентов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приведен ниже </w:t>
      </w:r>
      <w:r>
        <w:rPr>
          <w:rFonts w:ascii="Arial" w:eastAsia="Arial" w:hAnsi="Arial" w:cs="Arial"/>
          <w:color w:val="000000"/>
          <w:sz w:val="24"/>
          <w:szCs w:val="24"/>
        </w:rPr>
        <w:t>(согласно Приказу Министерства здравоохранения Российской Федерации от 28 октября 2020 г. №1166н «Об утверждении порядка прохождения донорами медицинского обследования и перечня медицинских противопоказаний (временных и постоянных) для сдачи крови и (или) ее компонентов и сроков отвода, которому подлежит лицо при наличии временных медицинских противопоказаний, от донорства крови и (или) ее компонентов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»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).</w:t>
      </w:r>
    </w:p>
    <w:p w:rsidR="00BA6EDE" w:rsidRDefault="00BA6EDE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BA6EDE" w:rsidRDefault="004875AC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950096" cy="10066215"/>
            <wp:effectExtent l="0" t="0" r="0" b="0"/>
            <wp:docPr id="2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0096" cy="1006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6EDE" w:rsidRDefault="004875AC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968850" cy="10110856"/>
            <wp:effectExtent l="0" t="0" r="0" b="0"/>
            <wp:docPr id="25" name="image8.png" descr="C:\Users\Даша\Downloads\Абсолютные противопоказания к донорству крови и компонентов, копия, копия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Даша\Downloads\Абсолютные противопоказания к донорству крови и компонентов, копия, копия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850" cy="10110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6EDE" w:rsidRDefault="004875AC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931591" cy="10028585"/>
            <wp:effectExtent l="0" t="0" r="0" b="0"/>
            <wp:docPr id="2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1591" cy="10028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6EDE" w:rsidRDefault="004875AC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023493" cy="10215471"/>
            <wp:effectExtent l="0" t="0" r="0" b="0"/>
            <wp:docPr id="2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3493" cy="10215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6EDE" w:rsidRDefault="004875AC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998340" cy="10164320"/>
            <wp:effectExtent l="0" t="0" r="0" b="0"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8340" cy="10164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6EDE" w:rsidRDefault="00BA6EDE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BA6EDE" w:rsidRDefault="004875AC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5053744" cy="4179131"/>
            <wp:effectExtent l="0" t="0" r="0" b="0"/>
            <wp:docPr id="2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744" cy="4179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6EDE" w:rsidRDefault="00BA6EDE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BA6EDE" w:rsidRDefault="00BA6EDE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BA6EDE" w:rsidRDefault="004875AC">
      <w:pPr>
        <w:pStyle w:val="1"/>
        <w:jc w:val="center"/>
        <w:rPr>
          <w:color w:val="000000"/>
        </w:rPr>
      </w:pPr>
      <w:bookmarkStart w:id="2" w:name="_heading=h.1fob9te" w:colFirst="0" w:colLast="0"/>
      <w:bookmarkEnd w:id="2"/>
      <w:r>
        <w:rPr>
          <w:color w:val="000000"/>
        </w:rPr>
        <w:t>Как подготовиться к сдаче крови?</w:t>
      </w:r>
    </w:p>
    <w:p w:rsidR="00BA6EDE" w:rsidRDefault="00BA6EDE"/>
    <w:p w:rsidR="00BA6EDE" w:rsidRDefault="00487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Рекомендации перед </w:t>
      </w:r>
      <w:proofErr w:type="spellStart"/>
      <w:r>
        <w:rPr>
          <w:rFonts w:ascii="Arial" w:eastAsia="Arial" w:hAnsi="Arial" w:cs="Arial"/>
          <w:b/>
          <w:color w:val="000000"/>
          <w:sz w:val="26"/>
          <w:szCs w:val="26"/>
        </w:rPr>
        <w:t>донацией</w:t>
      </w:r>
      <w:proofErr w:type="spellEnd"/>
      <w:r>
        <w:rPr>
          <w:rFonts w:ascii="Arial" w:eastAsia="Arial" w:hAnsi="Arial" w:cs="Arial"/>
          <w:b/>
          <w:color w:val="000000"/>
          <w:sz w:val="26"/>
          <w:szCs w:val="26"/>
        </w:rPr>
        <w:t>:</w:t>
      </w:r>
    </w:p>
    <w:p w:rsidR="00BA6EDE" w:rsidRDefault="00BA6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6"/>
          <w:szCs w:val="26"/>
        </w:rPr>
      </w:pPr>
    </w:p>
    <w:p w:rsidR="00BA6EDE" w:rsidRDefault="004875AC">
      <w:pPr>
        <w:numPr>
          <w:ilvl w:val="0"/>
          <w:numId w:val="9"/>
        </w:numPr>
        <w:shd w:val="clear" w:color="auto" w:fill="FFFFFF"/>
        <w:spacing w:before="46" w:after="0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Не приходите сдавать кровь, если вы чувствуете недомогание (озноб, головокружение, головную боль, слабость)</w:t>
      </w:r>
    </w:p>
    <w:p w:rsidR="00BA6EDE" w:rsidRDefault="004875AC">
      <w:pPr>
        <w:numPr>
          <w:ilvl w:val="0"/>
          <w:numId w:val="9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Не следует сдавать кровь после ночного дежурства или просто бессонной ночи.</w:t>
      </w:r>
    </w:p>
    <w:p w:rsidR="00BA6EDE" w:rsidRDefault="004875AC">
      <w:pPr>
        <w:numPr>
          <w:ilvl w:val="0"/>
          <w:numId w:val="9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Натощак сдавать кровь не нужно! Обязательно выспитесь и легко позавтракайте (сладкий чай, сухое печенье, каша на воде, яблоко).</w:t>
      </w:r>
    </w:p>
    <w:p w:rsidR="00BA6EDE" w:rsidRDefault="004875AC">
      <w:pPr>
        <w:numPr>
          <w:ilvl w:val="0"/>
          <w:numId w:val="9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Накануне и в день сдачи крови не рекомендуется употреблять жирную, жареную, острую и копченую пищу, бананы, орехи, а также молочные продукты, яйца и масло.</w:t>
      </w:r>
    </w:p>
    <w:p w:rsidR="00BA6EDE" w:rsidRDefault="004875AC">
      <w:pPr>
        <w:numPr>
          <w:ilvl w:val="0"/>
          <w:numId w:val="9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За 48 часов до визита на станцию переливания нельзя употреблять алкоголь, а за 72 исключить прием нестероидных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противовоспалительных  препаратов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(аспирин, анальгин, парацетамол и др.).</w:t>
      </w:r>
    </w:p>
    <w:p w:rsidR="00BA6EDE" w:rsidRDefault="004875AC">
      <w:pPr>
        <w:numPr>
          <w:ilvl w:val="0"/>
          <w:numId w:val="9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Не курите за час до сдачи крови.</w:t>
      </w:r>
    </w:p>
    <w:p w:rsidR="00BA6EDE" w:rsidRDefault="00D543C7">
      <w:pPr>
        <w:shd w:val="clear" w:color="auto" w:fill="FFFFFF"/>
        <w:spacing w:before="46" w:after="46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0953DF2E" wp14:editId="71A5A706">
            <wp:extent cx="5181599" cy="3600450"/>
            <wp:effectExtent l="19050" t="0" r="1" b="0"/>
            <wp:docPr id="1" name="Рисунок 1" descr="https://mcct.by/images/Donor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ct.by/images/Donor/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915" cy="360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DE" w:rsidRDefault="00BA6EDE">
      <w:pPr>
        <w:shd w:val="clear" w:color="auto" w:fill="FFFFFF"/>
        <w:spacing w:before="46" w:after="46" w:line="240" w:lineRule="auto"/>
        <w:rPr>
          <w:rFonts w:ascii="Arial" w:eastAsia="Arial" w:hAnsi="Arial" w:cs="Arial"/>
          <w:color w:val="000000"/>
        </w:rPr>
      </w:pPr>
    </w:p>
    <w:p w:rsidR="00BA6EDE" w:rsidRDefault="00BA6EDE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BA6EDE" w:rsidRDefault="004875AC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Рекомендации после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донации</w:t>
      </w:r>
      <w:proofErr w:type="spellEnd"/>
      <w:r>
        <w:rPr>
          <w:rFonts w:ascii="Arial" w:eastAsia="Arial" w:hAnsi="Arial" w:cs="Arial"/>
          <w:b/>
          <w:sz w:val="26"/>
          <w:szCs w:val="26"/>
        </w:rPr>
        <w:t>:</w:t>
      </w:r>
    </w:p>
    <w:p w:rsidR="00BA6EDE" w:rsidRDefault="004875AC">
      <w:pPr>
        <w:numPr>
          <w:ilvl w:val="0"/>
          <w:numId w:val="10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После сдачи крови сразу же вставать не рекомендуется, посидите спокойно 10–15 минут</w:t>
      </w:r>
    </w:p>
    <w:p w:rsidR="00BA6EDE" w:rsidRDefault="004875AC">
      <w:pPr>
        <w:numPr>
          <w:ilvl w:val="0"/>
          <w:numId w:val="10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Если вы почувствовали головокружение, обратитесь к медперсоналу.</w:t>
      </w:r>
    </w:p>
    <w:p w:rsidR="00BA6EDE" w:rsidRDefault="004875AC">
      <w:pPr>
        <w:numPr>
          <w:ilvl w:val="0"/>
          <w:numId w:val="10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Лучший способ победить головокружение: лечь на спину и поднять ноги выше головы, либо сесть и опустить голову между колен.</w:t>
      </w:r>
    </w:p>
    <w:p w:rsidR="00BA6EDE" w:rsidRDefault="004875AC">
      <w:pPr>
        <w:numPr>
          <w:ilvl w:val="0"/>
          <w:numId w:val="10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В течение 3–4 часов не снимайте повязку и старайтесь ее не мочить. Это убережет вас от возникновения синяка.</w:t>
      </w:r>
    </w:p>
    <w:p w:rsidR="00BA6EDE" w:rsidRDefault="004875AC">
      <w:pPr>
        <w:numPr>
          <w:ilvl w:val="0"/>
          <w:numId w:val="10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Не курите два часа после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донации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BA6EDE" w:rsidRDefault="004875AC">
      <w:pPr>
        <w:numPr>
          <w:ilvl w:val="0"/>
          <w:numId w:val="10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Избегайте в этот день тяжелых физических и спортивных нагрузок, подъема тяжестей, в том числе и сумок с покупками.</w:t>
      </w:r>
    </w:p>
    <w:p w:rsidR="00BA6EDE" w:rsidRDefault="004875AC">
      <w:pPr>
        <w:shd w:val="clear" w:color="auto" w:fill="FFFFFF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Полноценно и регулярно питайтесь после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донации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и выпивайте не менее 2 литров жидкости в день (алкоголь не рекомендуется)</w:t>
      </w:r>
    </w:p>
    <w:p w:rsidR="00BA6EDE" w:rsidRDefault="004875AC">
      <w:pPr>
        <w:pStyle w:val="1"/>
        <w:jc w:val="center"/>
        <w:rPr>
          <w:color w:val="000000"/>
        </w:rPr>
      </w:pPr>
      <w:bookmarkStart w:id="3" w:name="_heading=h.3znysh7" w:colFirst="0" w:colLast="0"/>
      <w:bookmarkEnd w:id="3"/>
      <w:r>
        <w:rPr>
          <w:color w:val="000000"/>
        </w:rPr>
        <w:t>Диета донора</w:t>
      </w:r>
    </w:p>
    <w:p w:rsidR="00BA6EDE" w:rsidRDefault="00BA6EDE"/>
    <w:p w:rsidR="00BA6EDE" w:rsidRDefault="004875AC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Для того, чтобы восстановление организма прошло быстрее, а кровь была безопасной для реципиента, важно соблюдать рекомендации по питанию.</w:t>
      </w:r>
    </w:p>
    <w:p w:rsidR="00BA6EDE" w:rsidRDefault="004875AC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sz w:val="24"/>
          <w:szCs w:val="24"/>
        </w:rPr>
        <w:t xml:space="preserve">За 2 дня до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кроводачи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рекомендуется употреблять:</w:t>
      </w:r>
    </w:p>
    <w:p w:rsidR="00BA6EDE" w:rsidRDefault="00487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овощи в любом виде, кроме жареных</w:t>
      </w:r>
    </w:p>
    <w:p w:rsidR="00BA6EDE" w:rsidRDefault="00487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каши на воде (без масла)</w:t>
      </w:r>
    </w:p>
    <w:p w:rsidR="00BA6EDE" w:rsidRDefault="00487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макароны и крупы (не жареные и без масла)</w:t>
      </w:r>
    </w:p>
    <w:p w:rsidR="00BA6EDE" w:rsidRDefault="00487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фрукты (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см.исключения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ниже)</w:t>
      </w:r>
    </w:p>
    <w:p w:rsidR="00BA6EDE" w:rsidRDefault="00487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хлеб разных сортов, сушки, печенье</w:t>
      </w:r>
    </w:p>
    <w:p w:rsidR="00BA6EDE" w:rsidRDefault="00487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нежирную рыбу или мясо в отварном виде, на пару</w:t>
      </w:r>
    </w:p>
    <w:p w:rsidR="00BA6EDE" w:rsidRDefault="00487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морсы и компоты, сладкий чай, минеральная воду</w:t>
      </w:r>
    </w:p>
    <w:p w:rsidR="00BA6EDE" w:rsidRDefault="00487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из сладостей разрешаются варенье и джемы домашнего приготовления</w:t>
      </w:r>
    </w:p>
    <w:p w:rsidR="00BA6EDE" w:rsidRDefault="004875AC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За 2 дня до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кроводачи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исключить: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жареное/копченое мясо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колбасные изделия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соусы (майонез, кетчуп и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др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яйца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жирные, копченые, острые продукты 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молочные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продукты(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сливочное/растительное масло, сыр, творог, молоко и др.)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цитрусовые (лимоны, апельсины, мандарины и др.)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финики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бананы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авокадо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свёкла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алкоголь и энергетики 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черника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орехи</w:t>
      </w:r>
    </w:p>
    <w:p w:rsidR="00BA6EDE" w:rsidRDefault="004875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семечки</w:t>
      </w:r>
    </w:p>
    <w:p w:rsidR="00BA6EDE" w:rsidRDefault="004875AC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Употребление такой пищи накануне </w:t>
      </w:r>
      <w:proofErr w:type="spellStart"/>
      <w:r>
        <w:rPr>
          <w:rFonts w:ascii="Arial" w:eastAsia="Arial" w:hAnsi="Arial" w:cs="Arial"/>
          <w:sz w:val="24"/>
          <w:szCs w:val="24"/>
        </w:rPr>
        <w:t>донации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может привести к </w:t>
      </w:r>
      <w:proofErr w:type="spellStart"/>
      <w:r>
        <w:rPr>
          <w:rFonts w:ascii="Arial" w:eastAsia="Arial" w:hAnsi="Arial" w:cs="Arial"/>
          <w:sz w:val="24"/>
          <w:szCs w:val="24"/>
        </w:rPr>
        <w:t>хилёзу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или к аллергической реакции, а также сильно ухудшить результаты анализов!</w:t>
      </w:r>
    </w:p>
    <w:p w:rsidR="00BA6EDE" w:rsidRDefault="004875AC">
      <w:pPr>
        <w:pStyle w:val="1"/>
        <w:jc w:val="center"/>
        <w:rPr>
          <w:color w:val="000000"/>
        </w:rPr>
      </w:pPr>
      <w:bookmarkStart w:id="4" w:name="_heading=h.2et92p0" w:colFirst="0" w:colLast="0"/>
      <w:bookmarkEnd w:id="4"/>
      <w:r>
        <w:rPr>
          <w:color w:val="000000"/>
        </w:rPr>
        <w:t xml:space="preserve">Частота </w:t>
      </w:r>
      <w:proofErr w:type="spellStart"/>
      <w:r>
        <w:rPr>
          <w:color w:val="000000"/>
        </w:rPr>
        <w:t>донаций</w:t>
      </w:r>
      <w:proofErr w:type="spellEnd"/>
      <w:r>
        <w:rPr>
          <w:color w:val="000000"/>
        </w:rPr>
        <w:t xml:space="preserve"> крови (компонентов)</w:t>
      </w:r>
    </w:p>
    <w:p w:rsidR="00BA6EDE" w:rsidRDefault="00BA6EDE"/>
    <w:p w:rsidR="00BA6EDE" w:rsidRDefault="004875AC">
      <w:pPr>
        <w:numPr>
          <w:ilvl w:val="0"/>
          <w:numId w:val="1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Максимально допустимое число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кроводач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в год у женщин – 4 раза; у мужчин – 5 раз.</w:t>
      </w:r>
    </w:p>
    <w:p w:rsidR="00BA6EDE" w:rsidRDefault="004875AC">
      <w:pPr>
        <w:numPr>
          <w:ilvl w:val="0"/>
          <w:numId w:val="1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Интервалы между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кроводачами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- 60 дней;</w:t>
      </w:r>
    </w:p>
    <w:p w:rsidR="00BA6EDE" w:rsidRDefault="004875AC">
      <w:pPr>
        <w:numPr>
          <w:ilvl w:val="0"/>
          <w:numId w:val="1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Интервалы между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донациями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компонентов крови (плазма, тромбоциты) – 14 дней, в год не более 20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плазмодач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и не более 10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тромбоцитаферезов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BA6EDE" w:rsidRDefault="004875AC">
      <w:pPr>
        <w:numPr>
          <w:ilvl w:val="0"/>
          <w:numId w:val="1"/>
        </w:numPr>
        <w:shd w:val="clear" w:color="auto" w:fill="FFFFFF"/>
        <w:spacing w:before="46" w:after="46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Интервалы между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донациями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эритроцитов – от 60 до 180 дней (в зависимости от взятого объема клеток крови). </w:t>
      </w:r>
    </w:p>
    <w:p w:rsidR="00BA6EDE" w:rsidRDefault="00BA6EDE">
      <w:pPr>
        <w:shd w:val="clear" w:color="auto" w:fill="FFFFFF"/>
        <w:spacing w:before="46" w:after="46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BA6EDE" w:rsidRDefault="004875AC">
      <w:pPr>
        <w:pStyle w:val="1"/>
        <w:jc w:val="center"/>
      </w:pPr>
      <w:bookmarkStart w:id="5" w:name="_heading=h.tyjcwt" w:colFirst="0" w:colLast="0"/>
      <w:bookmarkStart w:id="6" w:name="_heading=h.thlj8nxx24a7" w:colFirst="0" w:colLast="0"/>
      <w:bookmarkEnd w:id="5"/>
      <w:bookmarkEnd w:id="6"/>
      <w:r>
        <w:rPr>
          <w:color w:val="000000"/>
        </w:rPr>
        <w:t xml:space="preserve">Важность повторной </w:t>
      </w:r>
      <w:proofErr w:type="spellStart"/>
      <w:r>
        <w:rPr>
          <w:color w:val="000000"/>
        </w:rPr>
        <w:t>донации</w:t>
      </w:r>
      <w:proofErr w:type="spellEnd"/>
    </w:p>
    <w:p w:rsidR="00BA6EDE" w:rsidRDefault="004875A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После сдачи цельной крови стандартную дозу (450 мл) разделяют на компоненты: </w:t>
      </w:r>
      <w:r>
        <w:rPr>
          <w:rFonts w:ascii="Arial" w:eastAsia="Arial" w:hAnsi="Arial" w:cs="Arial"/>
          <w:sz w:val="24"/>
          <w:szCs w:val="24"/>
        </w:rPr>
        <w:br/>
        <w:t xml:space="preserve">-эритроциты </w:t>
      </w:r>
      <w:r>
        <w:rPr>
          <w:rFonts w:ascii="Arial" w:eastAsia="Arial" w:hAnsi="Arial" w:cs="Arial"/>
          <w:sz w:val="24"/>
          <w:szCs w:val="24"/>
        </w:rPr>
        <w:br/>
        <w:t xml:space="preserve">-тромбоциты </w:t>
      </w:r>
      <w:r>
        <w:rPr>
          <w:rFonts w:ascii="Arial" w:eastAsia="Arial" w:hAnsi="Arial" w:cs="Arial"/>
          <w:sz w:val="24"/>
          <w:szCs w:val="24"/>
        </w:rPr>
        <w:br/>
        <w:t>-плазму</w:t>
      </w:r>
    </w:p>
    <w:p w:rsidR="00BA6EDE" w:rsidRDefault="004875AC">
      <w:pPr>
        <w:rPr>
          <w:rFonts w:ascii="Arial" w:eastAsia="Arial" w:hAnsi="Arial" w:cs="Arial"/>
          <w:sz w:val="24"/>
          <w:szCs w:val="24"/>
        </w:rPr>
      </w:pPr>
      <w:bookmarkStart w:id="7" w:name="_heading=h.3dy6vkm" w:colFirst="0" w:colLast="0"/>
      <w:bookmarkEnd w:id="7"/>
      <w:r>
        <w:rPr>
          <w:rFonts w:ascii="Arial" w:eastAsia="Arial" w:hAnsi="Arial" w:cs="Arial"/>
          <w:sz w:val="24"/>
          <w:szCs w:val="24"/>
        </w:rPr>
        <w:t xml:space="preserve"> Вся заготовленная свежезамороженная плазма проходит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карантинизацию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в течение 120 суток. </w:t>
      </w:r>
      <w:r>
        <w:rPr>
          <w:rFonts w:ascii="Arial" w:eastAsia="Arial" w:hAnsi="Arial" w:cs="Arial"/>
          <w:sz w:val="24"/>
          <w:szCs w:val="24"/>
        </w:rPr>
        <w:br/>
      </w:r>
      <w:proofErr w:type="spellStart"/>
      <w:r>
        <w:rPr>
          <w:rFonts w:ascii="Arial" w:eastAsia="Arial" w:hAnsi="Arial" w:cs="Arial"/>
          <w:b/>
          <w:sz w:val="24"/>
          <w:szCs w:val="24"/>
        </w:rPr>
        <w:t>Карантинизация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– метод хранения плазмы с запретом ее использования до повторного исследования образца крови на </w:t>
      </w:r>
      <w:proofErr w:type="spellStart"/>
      <w:r>
        <w:rPr>
          <w:rFonts w:ascii="Arial" w:eastAsia="Arial" w:hAnsi="Arial" w:cs="Arial"/>
          <w:sz w:val="24"/>
          <w:szCs w:val="24"/>
        </w:rPr>
        <w:t>гемотрансмиссивные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инфекции.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 xml:space="preserve">Чтобы доза плазмы была передана в лечебную сеть, по истечении 120 суток донор должен пройти повторную </w:t>
      </w:r>
      <w:proofErr w:type="spellStart"/>
      <w:r>
        <w:rPr>
          <w:rFonts w:ascii="Arial" w:eastAsia="Arial" w:hAnsi="Arial" w:cs="Arial"/>
          <w:sz w:val="24"/>
          <w:szCs w:val="24"/>
        </w:rPr>
        <w:t>донацию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или сдать анализы для контрольного обследования на ВИЧ, гепатиты, сифилис.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lastRenderedPageBreak/>
        <w:t xml:space="preserve">Если в образце крови донора отсутствуют вирусные инфекции в период и по завершении </w:t>
      </w:r>
      <w:proofErr w:type="spellStart"/>
      <w:r>
        <w:rPr>
          <w:rFonts w:ascii="Arial" w:eastAsia="Arial" w:hAnsi="Arial" w:cs="Arial"/>
          <w:sz w:val="24"/>
          <w:szCs w:val="24"/>
        </w:rPr>
        <w:t>карантинизации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то свежезамороженная плазма выпускается из карантина с указанием срока </w:t>
      </w:r>
      <w:proofErr w:type="spellStart"/>
      <w:r>
        <w:rPr>
          <w:rFonts w:ascii="Arial" w:eastAsia="Arial" w:hAnsi="Arial" w:cs="Arial"/>
          <w:sz w:val="24"/>
          <w:szCs w:val="24"/>
        </w:rPr>
        <w:t>карантинизации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на этикетке. </w:t>
      </w:r>
      <w:r>
        <w:rPr>
          <w:rFonts w:ascii="Arial" w:eastAsia="Arial" w:hAnsi="Arial" w:cs="Arial"/>
          <w:sz w:val="24"/>
          <w:szCs w:val="24"/>
        </w:rPr>
        <w:br/>
        <w:t>Лечебные свойства свежезамороженной плазмы полностью сохраняются!</w:t>
      </w:r>
    </w:p>
    <w:p w:rsidR="00BA6EDE" w:rsidRDefault="00BA6EDE">
      <w:pPr>
        <w:rPr>
          <w:rFonts w:ascii="Arial" w:eastAsia="Arial" w:hAnsi="Arial" w:cs="Arial"/>
        </w:rPr>
      </w:pPr>
    </w:p>
    <w:p w:rsidR="00BA6EDE" w:rsidRDefault="004875AC">
      <w:pPr>
        <w:pStyle w:val="1"/>
        <w:jc w:val="center"/>
        <w:rPr>
          <w:color w:val="000000"/>
        </w:rPr>
      </w:pPr>
      <w:bookmarkStart w:id="8" w:name="_heading=h.1t3h5sf" w:colFirst="0" w:colLast="0"/>
      <w:bookmarkEnd w:id="8"/>
      <w:r>
        <w:rPr>
          <w:color w:val="000000"/>
        </w:rPr>
        <w:t>Привилегии доноров</w:t>
      </w:r>
    </w:p>
    <w:p w:rsidR="00BA6EDE" w:rsidRDefault="00BA6EDE"/>
    <w:p w:rsidR="00BA6EDE" w:rsidRDefault="004875AC">
      <w:pPr>
        <w:tabs>
          <w:tab w:val="left" w:pos="6517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После совершенной </w:t>
      </w:r>
      <w:proofErr w:type="spellStart"/>
      <w:r>
        <w:rPr>
          <w:rFonts w:ascii="Arial" w:eastAsia="Arial" w:hAnsi="Arial" w:cs="Arial"/>
          <w:sz w:val="24"/>
          <w:szCs w:val="24"/>
        </w:rPr>
        <w:t>донации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на мероприятии по забору крови выдается компенсация за питание в размере</w:t>
      </w:r>
      <w:r w:rsidR="005C7304">
        <w:rPr>
          <w:rFonts w:ascii="Arial" w:eastAsia="Arial" w:hAnsi="Arial" w:cs="Arial"/>
          <w:sz w:val="24"/>
          <w:szCs w:val="24"/>
        </w:rPr>
        <w:t xml:space="preserve"> 884</w:t>
      </w:r>
      <w:r>
        <w:rPr>
          <w:rFonts w:ascii="Arial" w:eastAsia="Arial" w:hAnsi="Arial" w:cs="Arial"/>
          <w:b/>
          <w:sz w:val="24"/>
          <w:szCs w:val="24"/>
        </w:rPr>
        <w:t xml:space="preserve"> рубл</w:t>
      </w:r>
      <w:r w:rsidR="005C7304">
        <w:rPr>
          <w:rFonts w:ascii="Arial" w:eastAsia="Arial" w:hAnsi="Arial" w:cs="Arial"/>
          <w:b/>
          <w:sz w:val="24"/>
          <w:szCs w:val="24"/>
        </w:rPr>
        <w:t>я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(с 17.06.2022 г.), а также для доноров предусмотрен ряд привилегий:</w:t>
      </w:r>
    </w:p>
    <w:p w:rsidR="00BA6EDE" w:rsidRDefault="004875A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Статья 186. Гарантии и компенсации работникам в случае сдачи ими крови и (или) ее компонентов:</w:t>
      </w:r>
    </w:p>
    <w:p w:rsidR="00BA6EDE" w:rsidRDefault="004875AC">
      <w:pPr>
        <w:numPr>
          <w:ilvl w:val="0"/>
          <w:numId w:val="2"/>
        </w:numPr>
        <w:shd w:val="clear" w:color="auto" w:fill="FFFFFF"/>
        <w:spacing w:after="0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В день дачи крови и ее компонентов, а также в день связанного с этим медицинского обследования работник освобождается от работы.</w:t>
      </w:r>
    </w:p>
    <w:p w:rsidR="00BA6EDE" w:rsidRDefault="004875AC">
      <w:pPr>
        <w:numPr>
          <w:ilvl w:val="0"/>
          <w:numId w:val="2"/>
        </w:numPr>
        <w:shd w:val="clear" w:color="auto" w:fill="FFFFFF"/>
        <w:spacing w:after="0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В случае, если по соглашению с работодателем работник в день дачи крови и ее компонентов вышел на работу (за исключением тяжелых работ и работ с вредными и (или) опасными условиями труда, когда выход работника на работу в этот день невозможен), ему предоставляется по его желанию другой день отдыха (в ред. Федерального закона от 22.08.04 № 122-ФЗ).</w:t>
      </w:r>
    </w:p>
    <w:p w:rsidR="00BA6EDE" w:rsidRDefault="004875AC">
      <w:pPr>
        <w:numPr>
          <w:ilvl w:val="0"/>
          <w:numId w:val="2"/>
        </w:numPr>
        <w:shd w:val="clear" w:color="auto" w:fill="FFFFFF"/>
        <w:spacing w:after="0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В случае дачи крови и ее компонентов в период ежегодного оплачиваемого отпуска, выходной или рабочий праздничный день работнику по его желанию предоставляется другой день отдыха.</w:t>
      </w:r>
    </w:p>
    <w:p w:rsidR="00BA6EDE" w:rsidRDefault="004875AC">
      <w:pPr>
        <w:numPr>
          <w:ilvl w:val="0"/>
          <w:numId w:val="2"/>
        </w:numPr>
        <w:shd w:val="clear" w:color="auto" w:fill="FFFFFF"/>
        <w:spacing w:after="0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После каждого дня </w:t>
      </w:r>
      <w:r>
        <w:rPr>
          <w:rFonts w:ascii="Arial" w:eastAsia="Arial" w:hAnsi="Arial" w:cs="Arial"/>
          <w:sz w:val="24"/>
          <w:szCs w:val="24"/>
        </w:rPr>
        <w:t>сдачи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крови и ее компонентов работнику предоставляется дополнительный день отдыха. Указанный день отдыха по желанию работника может быть присоединен к ежегодному оплачиваемому отпуску или использован в другое время в течение года после дня </w:t>
      </w:r>
      <w:r>
        <w:rPr>
          <w:rFonts w:ascii="Arial" w:eastAsia="Arial" w:hAnsi="Arial" w:cs="Arial"/>
          <w:sz w:val="24"/>
          <w:szCs w:val="24"/>
        </w:rPr>
        <w:t>сдачи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крови и ее компонентов.</w:t>
      </w:r>
    </w:p>
    <w:p w:rsidR="00BA6EDE" w:rsidRDefault="004875AC">
      <w:pPr>
        <w:numPr>
          <w:ilvl w:val="0"/>
          <w:numId w:val="2"/>
        </w:numPr>
        <w:shd w:val="clear" w:color="auto" w:fill="FFFFFF"/>
        <w:spacing w:after="0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При даче крови и ее компонентов работодатель сохраняет за работником его средний заработок за дни </w:t>
      </w:r>
      <w:r>
        <w:rPr>
          <w:rFonts w:ascii="Arial" w:eastAsia="Arial" w:hAnsi="Arial" w:cs="Arial"/>
          <w:sz w:val="24"/>
          <w:szCs w:val="24"/>
        </w:rPr>
        <w:t>сдачи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и предоставленные в связи с этим дни отдыха.</w:t>
      </w:r>
    </w:p>
    <w:p w:rsidR="00BA6EDE" w:rsidRDefault="00BA6EDE">
      <w:pPr>
        <w:shd w:val="clear" w:color="auto" w:fill="FFFFFF"/>
        <w:rPr>
          <w:rFonts w:ascii="Arial" w:eastAsia="Arial" w:hAnsi="Arial" w:cs="Arial"/>
          <w:color w:val="000000"/>
          <w:sz w:val="16"/>
          <w:szCs w:val="16"/>
        </w:rPr>
      </w:pPr>
    </w:p>
    <w:p w:rsidR="00BA6EDE" w:rsidRDefault="004875AC">
      <w:pPr>
        <w:pStyle w:val="1"/>
        <w:jc w:val="center"/>
        <w:rPr>
          <w:color w:val="000000"/>
        </w:rPr>
      </w:pPr>
      <w:bookmarkStart w:id="9" w:name="_heading=h.4d34og8" w:colFirst="0" w:colLast="0"/>
      <w:bookmarkStart w:id="10" w:name="_heading=h.2s8eyo1" w:colFirst="0" w:colLast="0"/>
      <w:bookmarkEnd w:id="9"/>
      <w:bookmarkEnd w:id="10"/>
      <w:r>
        <w:rPr>
          <w:color w:val="000000"/>
        </w:rPr>
        <w:lastRenderedPageBreak/>
        <w:t>Меры социальной поддержки лиц, награжденных нагрудным знаком «Почетный донор России»</w:t>
      </w:r>
    </w:p>
    <w:p w:rsidR="00BA6EDE" w:rsidRDefault="004875AC">
      <w:pPr>
        <w:shd w:val="clear" w:color="auto" w:fill="FFFFFF"/>
        <w:rPr>
          <w:rFonts w:ascii="Arial" w:eastAsia="Arial" w:hAnsi="Arial" w:cs="Arial"/>
          <w:color w:val="000000"/>
          <w:sz w:val="16"/>
          <w:szCs w:val="16"/>
        </w:rPr>
      </w:pPr>
      <w:bookmarkStart w:id="11" w:name="_GoBack"/>
      <w:r>
        <w:rPr>
          <w:rFonts w:ascii="Arial" w:eastAsia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622063" cy="5192077"/>
            <wp:effectExtent l="0" t="0" r="0" b="0"/>
            <wp:docPr id="37" name="image4.png" descr="C:\Users\Даша\Downloads\почётный донор россии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Даша\Downloads\почётный донор россии 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2063" cy="5192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1"/>
    </w:p>
    <w:p w:rsidR="00BA6EDE" w:rsidRDefault="00BA6EDE">
      <w:pPr>
        <w:shd w:val="clear" w:color="auto" w:fill="FFFFFF"/>
        <w:rPr>
          <w:rFonts w:ascii="Arial" w:eastAsia="Arial" w:hAnsi="Arial" w:cs="Arial"/>
          <w:color w:val="000000"/>
          <w:sz w:val="16"/>
          <w:szCs w:val="16"/>
        </w:rPr>
      </w:pPr>
    </w:p>
    <w:p w:rsidR="00BA6EDE" w:rsidRDefault="004875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Нагрудным знаком </w:t>
      </w:r>
      <w:r>
        <w:rPr>
          <w:rFonts w:ascii="Arial" w:eastAsia="Arial" w:hAnsi="Arial" w:cs="Arial"/>
          <w:b/>
          <w:color w:val="000000"/>
          <w:sz w:val="24"/>
          <w:szCs w:val="24"/>
        </w:rPr>
        <w:t>"Почетный донор России"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награждаются доноры, сдавшие безвозмездно кровь 40 и более раз или плазму крови 60 и более раз.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При смешанном донорстве учитываются 25 (и более)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кроводач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и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плазмодачи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в общем количестве 40 раз; либо менее 25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донаций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крови и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плазмодачи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в общем количестве 60 раз.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Граждане, награжденные нагрудным знаком </w:t>
      </w:r>
      <w:r>
        <w:rPr>
          <w:rFonts w:ascii="Arial" w:eastAsia="Arial" w:hAnsi="Arial" w:cs="Arial"/>
          <w:b/>
          <w:color w:val="000000"/>
          <w:sz w:val="24"/>
          <w:szCs w:val="24"/>
        </w:rPr>
        <w:t>"Почетный донор России"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имеют право на:</w:t>
      </w:r>
    </w:p>
    <w:p w:rsidR="00BA6EDE" w:rsidRDefault="004875AC">
      <w:pPr>
        <w:numPr>
          <w:ilvl w:val="0"/>
          <w:numId w:val="5"/>
        </w:numPr>
        <w:shd w:val="clear" w:color="auto" w:fill="FFFFFF"/>
        <w:spacing w:after="0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предоставление ежегодного оплачиваемого отпуска в удобное для них время года в соответствии с трудовым законодательством;</w:t>
      </w:r>
    </w:p>
    <w:p w:rsidR="00BA6EDE" w:rsidRDefault="004875AC">
      <w:pPr>
        <w:numPr>
          <w:ilvl w:val="0"/>
          <w:numId w:val="5"/>
        </w:numPr>
        <w:shd w:val="clear" w:color="auto" w:fill="FFFFFF"/>
        <w:spacing w:after="0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внеочередное оказание медицинской помощи в медицинских организациях государственной системы здравоохранения или муниципальной системы здравоохранения в рамках программы государственных гарантий оказания гражданам Российской Федерации бесплатной медицинской помощи;</w:t>
      </w:r>
    </w:p>
    <w:p w:rsidR="00BA6EDE" w:rsidRDefault="004875AC">
      <w:pPr>
        <w:numPr>
          <w:ilvl w:val="0"/>
          <w:numId w:val="5"/>
        </w:numPr>
        <w:shd w:val="clear" w:color="auto" w:fill="FFFFFF"/>
        <w:spacing w:after="0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первоочередное приобретение по месту работы или учебы льготных путевок на санаторно-курортное лечение;</w:t>
      </w:r>
    </w:p>
    <w:p w:rsidR="00BA6EDE" w:rsidRDefault="004875AC">
      <w:pPr>
        <w:numPr>
          <w:ilvl w:val="0"/>
          <w:numId w:val="5"/>
        </w:numPr>
        <w:shd w:val="clear" w:color="auto" w:fill="FFFFFF"/>
        <w:spacing w:after="0"/>
        <w:ind w:left="2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предоставление ежегодной денежной выплаты (индексируется 1 раз в год).</w:t>
      </w:r>
    </w:p>
    <w:p w:rsidR="00BA6EDE" w:rsidRDefault="00BA6EDE">
      <w:pPr>
        <w:shd w:val="clear" w:color="auto" w:fill="FFFFFF"/>
        <w:rPr>
          <w:rFonts w:ascii="Arial" w:eastAsia="Arial" w:hAnsi="Arial" w:cs="Arial"/>
          <w:color w:val="000000"/>
          <w:sz w:val="16"/>
          <w:szCs w:val="16"/>
        </w:rPr>
      </w:pPr>
    </w:p>
    <w:sectPr w:rsidR="00BA6EDE">
      <w:pgSz w:w="11906" w:h="16838"/>
      <w:pgMar w:top="426" w:right="850" w:bottom="284" w:left="1701" w:header="708" w:footer="708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7106"/>
    <w:multiLevelType w:val="multilevel"/>
    <w:tmpl w:val="63CCE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CD25E41"/>
    <w:multiLevelType w:val="multilevel"/>
    <w:tmpl w:val="5CF4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D3618A"/>
    <w:multiLevelType w:val="multilevel"/>
    <w:tmpl w:val="48707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3EC567B"/>
    <w:multiLevelType w:val="multilevel"/>
    <w:tmpl w:val="02E20C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7326846"/>
    <w:multiLevelType w:val="multilevel"/>
    <w:tmpl w:val="1B92F2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840294B"/>
    <w:multiLevelType w:val="multilevel"/>
    <w:tmpl w:val="C144F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DD29A5"/>
    <w:multiLevelType w:val="multilevel"/>
    <w:tmpl w:val="C6ECFF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8904B23"/>
    <w:multiLevelType w:val="multilevel"/>
    <w:tmpl w:val="8B0E02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BF75969"/>
    <w:multiLevelType w:val="multilevel"/>
    <w:tmpl w:val="C08C3D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A6F00AF"/>
    <w:multiLevelType w:val="multilevel"/>
    <w:tmpl w:val="D5C482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C8A4275"/>
    <w:multiLevelType w:val="multilevel"/>
    <w:tmpl w:val="A1467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 w:numId="9">
    <w:abstractNumId w:val="3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EDE"/>
    <w:rsid w:val="004875AC"/>
    <w:rsid w:val="005C7304"/>
    <w:rsid w:val="00BA6EDE"/>
    <w:rsid w:val="00C16851"/>
    <w:rsid w:val="00D5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57E58"/>
  <w15:docId w15:val="{7262A358-E584-4814-8198-677DD2CD3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729"/>
  </w:style>
  <w:style w:type="paragraph" w:styleId="1">
    <w:name w:val="heading 1"/>
    <w:basedOn w:val="a"/>
    <w:next w:val="a"/>
    <w:link w:val="10"/>
    <w:uiPriority w:val="9"/>
    <w:qFormat/>
    <w:rsid w:val="00EC34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C3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EC34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D051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C342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unhideWhenUsed/>
    <w:rsid w:val="00EC3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C3420"/>
    <w:rPr>
      <w:b/>
      <w:bCs/>
    </w:rPr>
  </w:style>
  <w:style w:type="character" w:styleId="a7">
    <w:name w:val="Hyperlink"/>
    <w:basedOn w:val="a0"/>
    <w:uiPriority w:val="99"/>
    <w:unhideWhenUsed/>
    <w:rsid w:val="00EC342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C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4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34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C34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OC Heading"/>
    <w:basedOn w:val="1"/>
    <w:next w:val="a"/>
    <w:uiPriority w:val="39"/>
    <w:semiHidden/>
    <w:unhideWhenUsed/>
    <w:qFormat/>
    <w:rsid w:val="004640E8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4640E8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4640E8"/>
    <w:pPr>
      <w:spacing w:after="100"/>
    </w:pPr>
  </w:style>
  <w:style w:type="paragraph" w:styleId="ab">
    <w:name w:val="Subtitle"/>
    <w:basedOn w:val="a"/>
    <w:next w:val="a"/>
    <w:link w:val="ac"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9E31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Заголовок Знак"/>
    <w:basedOn w:val="a0"/>
    <w:link w:val="a3"/>
    <w:uiPriority w:val="10"/>
    <w:rsid w:val="00D051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No Spacing"/>
    <w:link w:val="ae"/>
    <w:uiPriority w:val="1"/>
    <w:qFormat/>
    <w:rsid w:val="00D0512F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D0512F"/>
  </w:style>
  <w:style w:type="paragraph" w:styleId="af">
    <w:name w:val="List Paragraph"/>
    <w:basedOn w:val="a"/>
    <w:uiPriority w:val="34"/>
    <w:qFormat/>
    <w:rsid w:val="00DC5D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6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88061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f3K8+15dl1g11+g4BBKW8Mui3A==">AMUW2mWFpmPRT+Dl281DVp9TOJ0i/EBLIDDWayghLf5EBHeUY5yQa6SDLvTpAL970lGPIJv/sr6UjiJrfyRpI7kBLfJyUTbnr5ifNMuraYGEeMudKmC1zNSl6SK4WGTJj3XWqq0GvRKU2I7v0ePncEbU3rXNwJq6CxBybKTKTcXPLxPNDFd+M0+2qDw9EWOHSTwLUEoAOHEntKGJqJmJORE3O+6ZT5OBKsVdvOCP5keiBkRzALkxJs+j1V0pc6Q9FEOJoIu3Co+/WdtjyevZ8NiSYGSc0jt/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2022-09-27T06:33:00Z</dcterms:created>
  <dcterms:modified xsi:type="dcterms:W3CDTF">2022-11-17T07:25:00Z</dcterms:modified>
</cp:coreProperties>
</file>